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b/>
          <w:color w:val="191919"/>
          <w:sz w:val="24"/>
          <w:szCs w:val="24"/>
        </w:rPr>
      </w:pPr>
      <w:r>
        <w:rPr>
          <w:rFonts w:ascii="Times New Roman" w:cs="Times New Roman" w:eastAsia="Times New Roman" w:hAnsi="Times New Roman"/>
          <w:b/>
          <w:color w:val="191919"/>
          <w:sz w:val="24"/>
          <w:szCs w:val="24"/>
        </w:rPr>
        <w:t>Law Enforcement and Prosecution</w:t>
      </w:r>
    </w:p>
    <w:p>
      <w:pPr>
        <w:pStyle w:val="style0"/>
        <w:spacing w:after="0" w:lineRule="auto" w:line="48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Student’s Name</w:t>
      </w:r>
    </w:p>
    <w:p>
      <w:pPr>
        <w:pStyle w:val="style0"/>
        <w:spacing w:after="0" w:lineRule="auto" w:line="48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Institution</w:t>
      </w:r>
    </w:p>
    <w:p>
      <w:pPr>
        <w:pStyle w:val="style0"/>
        <w:spacing w:after="0" w:lineRule="auto" w:line="48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Course</w:t>
      </w:r>
    </w:p>
    <w:p>
      <w:pPr>
        <w:pStyle w:val="style0"/>
        <w:spacing w:after="0" w:lineRule="auto" w:line="48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Professor’s Name</w:t>
      </w:r>
    </w:p>
    <w:p>
      <w:pPr>
        <w:pStyle w:val="style0"/>
        <w:spacing w:after="0" w:lineRule="auto" w:line="48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Date</w:t>
      </w: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jc w:val="center"/>
        <w:rPr>
          <w:rFonts w:ascii="Times New Roman" w:cs="Times New Roman" w:eastAsia="Times New Roman" w:hAnsi="Times New Roman"/>
          <w:b/>
          <w:color w:val="191919"/>
          <w:sz w:val="24"/>
          <w:szCs w:val="24"/>
        </w:rPr>
      </w:pPr>
      <w:r>
        <w:rPr>
          <w:rFonts w:ascii="Times New Roman" w:cs="Times New Roman" w:eastAsia="Times New Roman" w:hAnsi="Times New Roman"/>
          <w:b/>
          <w:color w:val="191919"/>
          <w:sz w:val="24"/>
          <w:szCs w:val="24"/>
        </w:rPr>
        <w:t>Law Enforcement and Prosecution</w:t>
      </w:r>
    </w:p>
    <w:p>
      <w:pPr>
        <w:pStyle w:val="style0"/>
        <w:spacing w:after="0" w:lineRule="auto" w:line="480"/>
        <w:rPr>
          <w:rFonts w:ascii="Times New Roman" w:cs="Times New Roman" w:eastAsia="Times New Roman" w:hAnsi="Times New Roman"/>
          <w:b/>
          <w:color w:val="191919"/>
          <w:sz w:val="24"/>
          <w:szCs w:val="24"/>
        </w:rPr>
      </w:pPr>
      <w:r>
        <w:rPr>
          <w:rFonts w:ascii="Times New Roman" w:cs="Times New Roman" w:eastAsia="Times New Roman" w:hAnsi="Times New Roman"/>
          <w:b/>
          <w:color w:val="191919"/>
          <w:sz w:val="24"/>
          <w:szCs w:val="24"/>
        </w:rPr>
        <w:t>Address the ethical responsibilities of law enforcement in their requirements for fairness, and responsibility to ensure there are no wrongful convictions based upon false identification.</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 xml:space="preserve">The law enforcement institutions and personnel have ethical responsibilities to ensure that the right people are prosecuted and convicted. As Zacharias and Green (2009) explain, inaccurate testimonies account for most of the cases in which innocent people are found guilty as witnesses falsify the facts. Among the ethical responsibilities of law enforcement include exercising accountability and integrity. In terms of accountability, law enforcement must ensure that those who have committed are interdicted and convicted for the crimes they have committed. In terms of integrity, law enforcement is there to implement the law, not on favoritism, but in an equal and fair manner. As such, this should be reflected in the way they prosecute cases. They need to provide actual evidence and facts about the case that leads to the interdiction of the right perpetrators. Law enforcement should be transparent in the way they handle the cases. This will ensure that there are no complaints about the process or even those who are wrongfully convicted for the crimes that they have not committed. </w:t>
      </w:r>
    </w:p>
    <w:p>
      <w:pPr>
        <w:pStyle w:val="style0"/>
        <w:spacing w:after="0" w:lineRule="auto" w:line="480"/>
        <w:rPr>
          <w:rFonts w:ascii="Times New Roman" w:cs="Times New Roman" w:eastAsia="Times New Roman" w:hAnsi="Times New Roman"/>
          <w:b/>
          <w:color w:val="191919"/>
          <w:sz w:val="24"/>
          <w:szCs w:val="24"/>
        </w:rPr>
      </w:pPr>
      <w:r>
        <w:rPr>
          <w:rFonts w:ascii="Times New Roman" w:cs="Times New Roman" w:eastAsia="Times New Roman" w:hAnsi="Times New Roman"/>
          <w:b/>
          <w:color w:val="191919"/>
          <w:sz w:val="24"/>
          <w:szCs w:val="24"/>
        </w:rPr>
        <w:t>Identify the processes utilized by law enforcement in the identification of suspects.</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 xml:space="preserve">Suspect identification methods that law enforcement uses in the identification of suspects include lineup, show-up, and photographic array. All these methods involve eyewitness identification, in which a witness who may have seen a crime committed helps the law enforcement to place the culprit at the scene where the crime occurred. Eyewitness identification is widely used by many law enforcement institutions and personnel despite that it is not consistently reliable. Despite the weaknesses and shortcomings, the eyewitness approach has </w:t>
      </w:r>
      <w:r>
        <w:rPr>
          <w:rFonts w:ascii="Times New Roman" w:cs="Times New Roman" w:eastAsia="Times New Roman" w:hAnsi="Times New Roman"/>
          <w:color w:val="191919"/>
          <w:sz w:val="24"/>
          <w:szCs w:val="24"/>
        </w:rPr>
        <w:t>remained one of the primary methods used to persecute evidence against the perpetrators of crime for centuries.</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 xml:space="preserve">Lineups involve lining up four to five suspects who may have been involved in the crime for an eyewitness to identify. In this method, the witness is asked to identify, among the suspects of the crime from those lined up. This process typically occurs at the police station where investigations are undertaken. It helps with narrowing down the suspect list to specific people before continuing with the investigations. </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Showups</w:t>
      </w:r>
      <w:r>
        <w:rPr>
          <w:rFonts w:ascii="Times New Roman" w:cs="Times New Roman" w:eastAsia="Times New Roman" w:hAnsi="Times New Roman"/>
          <w:color w:val="191919"/>
          <w:sz w:val="24"/>
          <w:szCs w:val="24"/>
        </w:rPr>
        <w:t xml:space="preserve">, on the other hand, occur when law enforcement allows an eyewitness to view the suspect one-on-one. In this scenario, the witness is taken through the process of identifying the suspect immediately after the crime has occurred. </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 xml:space="preserve">Photo identification is another method used to engage eyewitnesses and identify suspects in a case. This scenario involves showing a photo of the suspect to the witness, and once the witness places him or her at the crime scene, the police may go ahead with the arrest. </w:t>
      </w:r>
    </w:p>
    <w:p>
      <w:pPr>
        <w:pStyle w:val="style0"/>
        <w:spacing w:after="0" w:lineRule="auto" w:line="480"/>
        <w:rPr>
          <w:rFonts w:ascii="Times New Roman" w:cs="Times New Roman" w:eastAsia="Times New Roman" w:hAnsi="Times New Roman"/>
          <w:b/>
          <w:color w:val="191919"/>
          <w:sz w:val="24"/>
          <w:szCs w:val="24"/>
        </w:rPr>
      </w:pPr>
      <w:r>
        <w:rPr>
          <w:rFonts w:ascii="Times New Roman" w:cs="Times New Roman" w:eastAsia="Times New Roman" w:hAnsi="Times New Roman"/>
          <w:b/>
          <w:color w:val="191919"/>
          <w:sz w:val="24"/>
          <w:szCs w:val="24"/>
        </w:rPr>
        <w:t>Consider individuals making identifications, do so in error at times, others intentionally, or are led by law enforcement through improper actions i.e., prejudicial line-ups or photo arrays</w:t>
      </w:r>
    </w:p>
    <w:p>
      <w:pPr>
        <w:pStyle w:val="style0"/>
        <w:spacing w:after="0" w:lineRule="auto" w:line="480"/>
        <w:ind w:firstLine="720"/>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Most of the wrongful convictions result from the flawed investigation process, which includes wrongful identification. This may happen due to many reasons including perceptual error from the eyewitness, intentional, and even c</w:t>
      </w:r>
      <w:bookmarkStart w:id="0" w:name="_GoBack"/>
      <w:bookmarkEnd w:id="0"/>
      <w:r>
        <w:rPr>
          <w:rFonts w:ascii="Times New Roman" w:cs="Times New Roman" w:eastAsia="Times New Roman" w:hAnsi="Times New Roman"/>
          <w:color w:val="191919"/>
          <w:sz w:val="24"/>
          <w:szCs w:val="24"/>
        </w:rPr>
        <w:t xml:space="preserve">oercion from the law enforcement. Sometimes, an eyewitness can be the best tool to use to help in the investigation, but when done inappropriately, it may result in serious repercussions including wrongful conviction of innocent people who have not committed a crime. Therefore, law enforcement needs to understand their responsibilities and engage different methods in the identification of suspects including forensic </w:t>
      </w:r>
      <w:r>
        <w:rPr>
          <w:rFonts w:ascii="Times New Roman" w:cs="Times New Roman" w:eastAsia="Times New Roman" w:hAnsi="Times New Roman"/>
          <w:color w:val="191919"/>
          <w:sz w:val="24"/>
          <w:szCs w:val="24"/>
        </w:rPr>
        <w:t>scientific methods which have proven effective and useful than the traditional eyewitness method. Eyewitness accounts can be enhanced or complemented by forensic findings that link the suspect with the crime. In a diverse society like the United States, such unreliable traditional methods (eyewitness accounts) can be misused and exploited by those who want to intentionally prejudice against other people.</w:t>
      </w: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rPr>
          <w:rFonts w:ascii="Times New Roman" w:cs="Times New Roman" w:eastAsia="Times New Roman" w:hAnsi="Times New Roman"/>
          <w:color w:val="191919"/>
          <w:sz w:val="24"/>
          <w:szCs w:val="24"/>
        </w:rPr>
      </w:pPr>
    </w:p>
    <w:p>
      <w:pPr>
        <w:pStyle w:val="style0"/>
        <w:spacing w:after="0" w:lineRule="auto" w:line="480"/>
        <w:ind w:left="720" w:hanging="720"/>
        <w:rPr>
          <w:rFonts w:ascii="Times New Roman" w:cs="Times New Roman" w:eastAsia="Times New Roman" w:hAnsi="Times New Roman"/>
          <w:color w:val="191919"/>
          <w:sz w:val="24"/>
          <w:szCs w:val="24"/>
        </w:rPr>
      </w:pPr>
    </w:p>
    <w:p>
      <w:pPr>
        <w:pStyle w:val="style0"/>
        <w:spacing w:after="0" w:lineRule="auto" w:line="480"/>
        <w:ind w:left="720" w:hanging="720"/>
        <w:jc w:val="center"/>
        <w:rPr>
          <w:rFonts w:ascii="Times New Roman" w:cs="Times New Roman" w:eastAsia="Times New Roman" w:hAnsi="Times New Roman"/>
          <w:color w:val="191919"/>
          <w:sz w:val="24"/>
          <w:szCs w:val="24"/>
        </w:rPr>
      </w:pPr>
      <w:r>
        <w:rPr>
          <w:rFonts w:ascii="Times New Roman" w:cs="Times New Roman" w:eastAsia="Times New Roman" w:hAnsi="Times New Roman"/>
          <w:color w:val="191919"/>
          <w:sz w:val="24"/>
          <w:szCs w:val="24"/>
        </w:rPr>
        <w:t>References</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Law Firms.</w:t>
      </w:r>
      <w:r>
        <w:rPr>
          <w:rFonts w:ascii="Times New Roman" w:cs="Times New Roman" w:hAnsi="Times New Roman"/>
          <w:color w:val="222222"/>
          <w:sz w:val="24"/>
          <w:szCs w:val="24"/>
          <w:shd w:val="clear" w:color="auto" w:fill="ffffff"/>
        </w:rPr>
        <w:t xml:space="preserve"> (2021). “Eyewitness Identification Practices in Criminal Prosecutions.” </w:t>
      </w:r>
      <w:r>
        <w:rPr>
          <w:rFonts w:ascii="Times New Roman" w:cs="Times New Roman" w:hAnsi="Times New Roman"/>
          <w:i/>
          <w:color w:val="222222"/>
          <w:sz w:val="24"/>
          <w:szCs w:val="24"/>
          <w:shd w:val="clear" w:color="auto" w:fill="ffffff"/>
        </w:rPr>
        <w:t xml:space="preserve">Law </w:t>
      </w:r>
      <w:r>
        <w:rPr>
          <w:rFonts w:ascii="Times New Roman" w:cs="Times New Roman" w:hAnsi="Times New Roman"/>
          <w:color w:val="222222"/>
          <w:sz w:val="24"/>
          <w:szCs w:val="24"/>
          <w:shd w:val="clear" w:color="auto" w:fill="ffffff"/>
        </w:rPr>
        <w:t>Firms (online). https://www.lawfirms.com/resources/criminal-defense/criminal-defense-case/eyewitness-identification.htm</w:t>
      </w:r>
    </w:p>
    <w:p>
      <w:pPr>
        <w:pStyle w:val="style0"/>
        <w:spacing w:after="0" w:lineRule="auto" w:line="48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Zacharias, F. C., &amp; Green, B. A. (2009).</w:t>
      </w:r>
      <w:r>
        <w:rPr>
          <w:rFonts w:ascii="Times New Roman" w:cs="Times New Roman" w:hAnsi="Times New Roman"/>
          <w:color w:val="222222"/>
          <w:sz w:val="24"/>
          <w:szCs w:val="24"/>
          <w:shd w:val="clear" w:color="auto" w:fill="ffffff"/>
        </w:rPr>
        <w:t xml:space="preserve"> The Duty to Avoid Wrongful Convictions: A Thought Experiment in the Regulation of Prosecutors. </w:t>
      </w:r>
      <w:r>
        <w:rPr>
          <w:rFonts w:ascii="Times New Roman" w:cs="Times New Roman" w:hAnsi="Times New Roman"/>
          <w:i/>
          <w:iCs/>
          <w:color w:val="222222"/>
          <w:sz w:val="24"/>
          <w:szCs w:val="24"/>
          <w:shd w:val="clear" w:color="auto" w:fill="ffffff"/>
        </w:rPr>
        <w:t>BuL</w:t>
      </w:r>
      <w:r>
        <w:rPr>
          <w:rFonts w:ascii="Times New Roman" w:cs="Times New Roman" w:hAnsi="Times New Roman"/>
          <w:i/>
          <w:iCs/>
          <w:color w:val="222222"/>
          <w:sz w:val="24"/>
          <w:szCs w:val="24"/>
          <w:shd w:val="clear" w:color="auto" w:fill="ffffff"/>
        </w:rPr>
        <w:t xml:space="preserve"> rev.</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89</w:t>
      </w:r>
      <w:r>
        <w:rPr>
          <w:rFonts w:ascii="Times New Roman" w:cs="Times New Roman" w:hAnsi="Times New Roman"/>
          <w:color w:val="222222"/>
          <w:sz w:val="24"/>
          <w:szCs w:val="24"/>
          <w:shd w:val="clear" w:color="auto" w:fill="ffffff"/>
        </w:rPr>
        <w:t>, 1.</w:t>
      </w:r>
    </w:p>
    <w:p>
      <w:pPr>
        <w:pStyle w:val="style0"/>
        <w:spacing w:after="0" w:lineRule="auto" w:line="48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SimSun">
    <w:altName w:val="宋体"/>
    <w:panose1 w:val="02010600030001010101"/>
    <w:charset w:val="86"/>
    <w:family w:val="auto"/>
    <w:pitch w:val="variable"/>
    <w:sig w:usb0="00000003" w:usb1="288F0000" w:usb2="00000016" w:usb3="00000000" w:csb0="00040001"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F2E49BF0"/>
    <w:lvl w:ilvl="0">
      <w:start w:val="1"/>
      <w:numFmt w:val="bullet"/>
      <w:lvlText w:val=""/>
      <w:lvlJc w:val="left"/>
      <w:pPr>
        <w:tabs>
          <w:tab w:val="left" w:leader="none" w:pos="720"/>
        </w:tabs>
        <w:ind w:left="720" w:hanging="360"/>
      </w:pPr>
      <w:rPr>
        <w:rFonts w:ascii="Symbol" w:hAnsi="Symbol" w:hint="default"/>
        <w:sz w:val="20"/>
      </w:rPr>
    </w:lvl>
    <w:lvl w:ilvl="1">
      <w:start w:val="1"/>
      <w:numFmt w:val="bullet"/>
      <w:lvlText w:val=""/>
      <w:lvlJc w:val="left"/>
      <w:pPr>
        <w:tabs>
          <w:tab w:val="left" w:leader="none" w:pos="1440"/>
        </w:tabs>
        <w:ind w:left="1440" w:hanging="360"/>
      </w:pPr>
      <w:rPr>
        <w:rFonts w:ascii="Symbol" w:hAnsi="Symbol" w:hint="default"/>
        <w:sz w:val="20"/>
      </w:rPr>
    </w:lvl>
    <w:lvl w:ilvl="2">
      <w:start w:val="1"/>
      <w:numFmt w:val="bullet"/>
      <w:lvlText w:val=""/>
      <w:lvlJc w:val="left"/>
      <w:pPr>
        <w:tabs>
          <w:tab w:val="left" w:leader="none" w:pos="2160"/>
        </w:tabs>
        <w:ind w:left="2160" w:hanging="360"/>
      </w:pPr>
      <w:rPr>
        <w:rFonts w:ascii="Symbol" w:hAnsi="Symbol" w:hint="default"/>
        <w:sz w:val="20"/>
      </w:rPr>
    </w:lvl>
    <w:lvl w:ilvl="3">
      <w:start w:val="1"/>
      <w:numFmt w:val="bullet"/>
      <w:lvlText w:val=""/>
      <w:lvlJc w:val="left"/>
      <w:pPr>
        <w:tabs>
          <w:tab w:val="left" w:leader="none" w:pos="2880"/>
        </w:tabs>
        <w:ind w:left="2880" w:hanging="360"/>
      </w:pPr>
      <w:rPr>
        <w:rFonts w:ascii="Symbol" w:hAnsi="Symbol" w:hint="default"/>
        <w:sz w:val="20"/>
      </w:rPr>
    </w:lvl>
    <w:lvl w:ilvl="4">
      <w:start w:val="1"/>
      <w:numFmt w:val="bullet"/>
      <w:lvlText w:val=""/>
      <w:lvlJc w:val="left"/>
      <w:pPr>
        <w:tabs>
          <w:tab w:val="left" w:leader="none" w:pos="3600"/>
        </w:tabs>
        <w:ind w:left="3600" w:hanging="360"/>
      </w:pPr>
      <w:rPr>
        <w:rFonts w:ascii="Symbol" w:hAnsi="Symbol" w:hint="default"/>
        <w:sz w:val="20"/>
      </w:rPr>
    </w:lvl>
    <w:lvl w:ilvl="5">
      <w:start w:val="1"/>
      <w:numFmt w:val="bullet"/>
      <w:lvlText w:val=""/>
      <w:lvlJc w:val="left"/>
      <w:pPr>
        <w:tabs>
          <w:tab w:val="left" w:leader="none" w:pos="4320"/>
        </w:tabs>
        <w:ind w:left="4320" w:hanging="360"/>
      </w:pPr>
      <w:rPr>
        <w:rFonts w:ascii="Symbol" w:hAnsi="Symbol" w:hint="default"/>
        <w:sz w:val="20"/>
      </w:rPr>
    </w:lvl>
    <w:lvl w:ilvl="6">
      <w:start w:val="1"/>
      <w:numFmt w:val="bullet"/>
      <w:lvlText w:val=""/>
      <w:lvlJc w:val="left"/>
      <w:pPr>
        <w:tabs>
          <w:tab w:val="left" w:leader="none" w:pos="5040"/>
        </w:tabs>
        <w:ind w:left="5040" w:hanging="360"/>
      </w:pPr>
      <w:rPr>
        <w:rFonts w:ascii="Symbol" w:hAnsi="Symbol" w:hint="default"/>
        <w:sz w:val="20"/>
      </w:rPr>
    </w:lvl>
    <w:lvl w:ilvl="7">
      <w:start w:val="1"/>
      <w:numFmt w:val="bullet"/>
      <w:lvlText w:val=""/>
      <w:lvlJc w:val="left"/>
      <w:pPr>
        <w:tabs>
          <w:tab w:val="left" w:leader="none" w:pos="5760"/>
        </w:tabs>
        <w:ind w:left="5760" w:hanging="360"/>
      </w:pPr>
      <w:rPr>
        <w:rFonts w:ascii="Symbol" w:hAnsi="Symbol" w:hint="default"/>
        <w:sz w:val="20"/>
      </w:rPr>
    </w:lvl>
    <w:lvl w:ilvl="8">
      <w:start w:val="1"/>
      <w:numFmt w:val="bullet"/>
      <w:lvlText w:val=""/>
      <w:lvlJc w:val="left"/>
      <w:pPr>
        <w:tabs>
          <w:tab w:val="left" w:leader="none" w:pos="6480"/>
        </w:tabs>
        <w:ind w:left="6480" w:hanging="360"/>
      </w:pPr>
      <w:rPr>
        <w:rFonts w:ascii="Symbol" w:hAnsi="Symbol"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w="http://schemas.openxmlformats.org/wordprocessingml/2006/main" xmlns:r="http://schemas.openxmlformats.org/officeDocument/2006/relationships" xmlns:m="http://schemas.openxmlformats.org/officeDocument/2006/math">
  <w:zoom w:percent="5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pacing w:after="160" w:lineRule="auto" w:line="256"/>
    </w:pPr>
    <w:rPr>
      <w:rFonts w:ascii="Calibri" w:cs="SimSu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dbd57fdb-80a2-4d16-aa94-1b927ade7bd5"/>
    <w:basedOn w:val="style65"/>
    <w:next w:val="style4097"/>
    <w:link w:val="style31"/>
    <w:uiPriority w:val="99"/>
    <w:rPr>
      <w:rFonts w:ascii="Calibri" w:cs="SimSun" w:eastAsia="Calibri" w:hAnsi="Calibri"/>
    </w:rPr>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e479ad52-ae85-4923-a9f6-f11fbcaa2b28"/>
    <w:basedOn w:val="style65"/>
    <w:next w:val="style4098"/>
    <w:link w:val="style32"/>
    <w:uiPriority w:val="99"/>
    <w:rPr>
      <w:rFonts w:ascii="Calibri" w:cs="SimSun" w:eastAsia="Calibri" w:hAnsi="Calibri"/>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690</Words>
  <Pages>5</Pages>
  <Characters>3992</Characters>
  <Application>WPS Office</Application>
  <DocSecurity>0</DocSecurity>
  <Paragraphs>57</Paragraphs>
  <ScaleCrop>false</ScaleCrop>
  <LinksUpToDate>false</LinksUpToDate>
  <CharactersWithSpaces>4666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2021-03-24T13:27:37Z</dcterms:created>
  <dc:creator>acer</dc:creator>
  <lastModifiedBy>SM-A515F</lastModifiedBy>
  <dcterms:modified xsi:type="dcterms:W3CDTF">2021-03-24T13:27:37Z</dcterms:modified>
  <revision>1</revision>
</coreProperties>
</file>

<file path=docProps/custom.xml><?xml version="1.0" encoding="utf-8"?>
<Properties xmlns="http://schemas.openxmlformats.org/officeDocument/2006/custom-properties" xmlns:vt="http://schemas.openxmlformats.org/officeDocument/2006/docPropsVTypes"/>
</file>